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Информация об основных результатах </w:t>
      </w:r>
      <w:r>
        <w:rPr>
          <w:rFonts w:ascii="Times New Roman" w:hAnsi="Times New Roman"/>
          <w:b w:val="1"/>
          <w:sz w:val="28"/>
        </w:rPr>
        <w:t xml:space="preserve">экспертно-аналитического мероприятия «Проведение оперативного анализа исполнения и </w:t>
      </w:r>
      <w:r>
        <w:rPr>
          <w:rFonts w:ascii="Times New Roman" w:hAnsi="Times New Roman"/>
          <w:b w:val="1"/>
          <w:sz w:val="28"/>
        </w:rPr>
        <w:t>контроля за</w:t>
      </w:r>
      <w:r>
        <w:rPr>
          <w:rFonts w:ascii="Times New Roman" w:hAnsi="Times New Roman"/>
          <w:b w:val="1"/>
          <w:sz w:val="28"/>
        </w:rPr>
        <w:t xml:space="preserve"> организацией исполнения бюджета </w:t>
      </w:r>
      <w:r>
        <w:rPr>
          <w:rFonts w:ascii="Times New Roman" w:hAnsi="Times New Roman"/>
          <w:b w:val="1"/>
          <w:sz w:val="28"/>
        </w:rPr>
        <w:t>Шарангского</w:t>
      </w:r>
      <w:r>
        <w:rPr>
          <w:rFonts w:ascii="Times New Roman" w:hAnsi="Times New Roman"/>
          <w:b w:val="1"/>
          <w:sz w:val="28"/>
        </w:rPr>
        <w:t xml:space="preserve"> муниципального округа за 1 квартал 2026 года» </w:t>
      </w:r>
    </w:p>
    <w:p w14:paraId="03000000">
      <w:pPr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color w:val="000000"/>
          <w:sz w:val="24"/>
          <w:highlight w:val="white"/>
        </w:rPr>
        <w:t xml:space="preserve">пункта 1.3 плана работы Контрольно-счетной комиссии </w:t>
      </w:r>
      <w:r>
        <w:rPr>
          <w:rFonts w:ascii="Times New Roman" w:hAnsi="Times New Roman"/>
          <w:color w:val="000000"/>
          <w:sz w:val="24"/>
          <w:highlight w:val="white"/>
        </w:rPr>
        <w:t>Шарангского</w:t>
      </w:r>
      <w:r>
        <w:rPr>
          <w:rFonts w:ascii="Times New Roman" w:hAnsi="Times New Roman"/>
          <w:color w:val="000000"/>
          <w:sz w:val="24"/>
          <w:highlight w:val="white"/>
        </w:rPr>
        <w:t xml:space="preserve"> муниципального округа Нижегородской области на 2026 год</w:t>
      </w:r>
      <w:r>
        <w:rPr>
          <w:rFonts w:ascii="Times New Roman" w:hAnsi="Times New Roman"/>
          <w:sz w:val="24"/>
        </w:rPr>
        <w:t>)</w:t>
      </w:r>
    </w:p>
    <w:p w14:paraId="04000000">
      <w:pPr>
        <w:spacing w:after="0"/>
        <w:ind/>
        <w:jc w:val="center"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Первоначально основные характеристики бюджета муниципального округа на 2026 год утверждены по доходам в сумме 1 129 938,4 тыс. рублей, по </w:t>
      </w:r>
      <w:r>
        <w:rPr>
          <w:rFonts w:ascii="Times New Roman" w:hAnsi="Times New Roman"/>
          <w:sz w:val="28"/>
        </w:rPr>
        <w:t xml:space="preserve">расходам в сумме 1 129 938,4 </w:t>
      </w:r>
      <w:r>
        <w:rPr>
          <w:rFonts w:ascii="Times New Roman" w:hAnsi="Times New Roman"/>
          <w:sz w:val="28"/>
        </w:rPr>
        <w:t>тыс</w:t>
      </w:r>
      <w:r>
        <w:rPr>
          <w:rFonts w:ascii="Times New Roman" w:hAnsi="Times New Roman"/>
          <w:sz w:val="28"/>
        </w:rPr>
        <w:t>.р</w:t>
      </w:r>
      <w:r>
        <w:rPr>
          <w:rFonts w:ascii="Times New Roman" w:hAnsi="Times New Roman"/>
          <w:sz w:val="28"/>
        </w:rPr>
        <w:t>ублей</w:t>
      </w:r>
      <w:r>
        <w:rPr>
          <w:rFonts w:ascii="Times New Roman" w:hAnsi="Times New Roman"/>
          <w:sz w:val="28"/>
        </w:rPr>
        <w:t xml:space="preserve">. Прогнозируемый размер дефицита бюджета – 0,0 тыс. рублей (решение Совета депутатов </w:t>
      </w:r>
      <w:r>
        <w:rPr>
          <w:rFonts w:ascii="Times New Roman" w:hAnsi="Times New Roman"/>
          <w:sz w:val="28"/>
        </w:rPr>
        <w:t>Шарангского</w:t>
      </w:r>
      <w:r>
        <w:rPr>
          <w:rFonts w:ascii="Times New Roman" w:hAnsi="Times New Roman"/>
          <w:sz w:val="28"/>
        </w:rPr>
        <w:t xml:space="preserve"> муниципального округа Нижегородской области от 23.12.2025 №104 «О бюджете </w:t>
      </w:r>
      <w:r>
        <w:rPr>
          <w:rFonts w:ascii="Times New Roman" w:hAnsi="Times New Roman"/>
          <w:sz w:val="28"/>
        </w:rPr>
        <w:t>Шарангского</w:t>
      </w:r>
      <w:r>
        <w:rPr>
          <w:rFonts w:ascii="Times New Roman" w:hAnsi="Times New Roman"/>
          <w:sz w:val="28"/>
        </w:rPr>
        <w:t xml:space="preserve"> муниципального округа на 2026 год и на плановый период 2027 и 2028 годов» (далее – решение о бюджете)).</w:t>
      </w:r>
    </w:p>
    <w:p w14:paraId="06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 отчетного периода в решение о бюджете два раза вносил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сь изменени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, утвержденн</w:t>
      </w:r>
      <w:r>
        <w:rPr>
          <w:rFonts w:ascii="Times New Roman" w:hAnsi="Times New Roman"/>
          <w:sz w:val="28"/>
        </w:rPr>
        <w:t>ые</w:t>
      </w:r>
      <w:r>
        <w:rPr>
          <w:rFonts w:ascii="Times New Roman" w:hAnsi="Times New Roman"/>
          <w:sz w:val="28"/>
        </w:rPr>
        <w:t xml:space="preserve"> решени</w:t>
      </w:r>
      <w:r>
        <w:rPr>
          <w:rFonts w:ascii="Times New Roman" w:hAnsi="Times New Roman"/>
          <w:sz w:val="28"/>
        </w:rPr>
        <w:t>ями</w:t>
      </w:r>
      <w:r>
        <w:rPr>
          <w:rFonts w:ascii="Times New Roman" w:hAnsi="Times New Roman"/>
          <w:sz w:val="28"/>
        </w:rPr>
        <w:t xml:space="preserve"> Совета депутатов </w:t>
      </w:r>
      <w:r>
        <w:rPr>
          <w:rFonts w:ascii="Times New Roman" w:hAnsi="Times New Roman"/>
          <w:sz w:val="28"/>
        </w:rPr>
        <w:t>Шарангского</w:t>
      </w:r>
      <w:r>
        <w:rPr>
          <w:rFonts w:ascii="Times New Roman" w:hAnsi="Times New Roman"/>
          <w:sz w:val="28"/>
        </w:rPr>
        <w:t xml:space="preserve"> муниципального округа Нижегородской области (от 24.02.2026 №3, от 24.03.2026 №12).</w:t>
      </w:r>
    </w:p>
    <w:p w14:paraId="07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плановых бюджетных назначений основных параметров бюджета муниципального округа на 2026 год отражены в таблице:</w:t>
      </w: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029"/>
        <w:gridCol w:w="1452"/>
        <w:gridCol w:w="1488"/>
        <w:gridCol w:w="1668"/>
      </w:tblGrid>
      <w:tr>
        <w:trPr>
          <w:trHeight w:hRule="atLeast" w:val="360"/>
        </w:trPr>
        <w:tc>
          <w:tcPr>
            <w:tcW w:type="dxa" w:w="5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Доходы, тыс. рублей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Расходы, тыс. рублей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Дефицит</w:t>
            </w:r>
            <w:r>
              <w:rPr>
                <w:rFonts w:ascii="Times New Roman" w:hAnsi="Times New Roman"/>
                <w:sz w:val="22"/>
              </w:rPr>
              <w:t xml:space="preserve"> (-)/ </w:t>
            </w:r>
            <w:r>
              <w:rPr>
                <w:rFonts w:ascii="Times New Roman" w:hAnsi="Times New Roman"/>
                <w:sz w:val="22"/>
              </w:rPr>
              <w:t>Профицит (+)</w:t>
            </w:r>
          </w:p>
        </w:tc>
      </w:tr>
      <w:tr>
        <w:trPr>
          <w:trHeight w:hRule="atLeast" w:val="360"/>
        </w:trPr>
        <w:tc>
          <w:tcPr>
            <w:tcW w:type="dxa" w:w="5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Решение от 23.12.2025г. №104</w:t>
            </w:r>
          </w:p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1 129 938,4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1 129 938,4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0,0</w:t>
            </w:r>
          </w:p>
        </w:tc>
      </w:tr>
      <w:tr>
        <w:trPr>
          <w:trHeight w:hRule="atLeast" w:val="360"/>
        </w:trPr>
        <w:tc>
          <w:tcPr>
            <w:tcW w:type="dxa" w:w="5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изменения, внесенные в решение о бюджете в течение отчетного года, из них:</w:t>
            </w:r>
          </w:p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+30 010,4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+42 404,6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x</w:t>
            </w:r>
          </w:p>
        </w:tc>
      </w:tr>
      <w:tr>
        <w:trPr>
          <w:trHeight w:hRule="atLeast" w:val="360"/>
        </w:trPr>
        <w:tc>
          <w:tcPr>
            <w:tcW w:type="dxa" w:w="5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-за счет безвозмездных поступлений</w:t>
            </w:r>
          </w:p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+29 619,4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x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x</w:t>
            </w:r>
          </w:p>
        </w:tc>
      </w:tr>
      <w:tr>
        <w:trPr>
          <w:trHeight w:hRule="atLeast" w:val="360"/>
        </w:trPr>
        <w:tc>
          <w:tcPr>
            <w:tcW w:type="dxa" w:w="5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-за счет налоговых и неналоговых доходов</w:t>
            </w:r>
          </w:p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+391,0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x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x</w:t>
            </w:r>
          </w:p>
        </w:tc>
      </w:tr>
      <w:tr>
        <w:trPr>
          <w:trHeight w:hRule="atLeast" w:val="360"/>
        </w:trPr>
        <w:tc>
          <w:tcPr>
            <w:tcW w:type="dxa" w:w="5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Решение с учетом изменений (редакция от 24.03.2026г.№12)</w:t>
            </w:r>
          </w:p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1 159 948,8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1 172 343,0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-12 394,2</w:t>
            </w:r>
          </w:p>
        </w:tc>
      </w:tr>
      <w:tr>
        <w:trPr>
          <w:trHeight w:hRule="atLeast" w:val="360"/>
        </w:trPr>
        <w:tc>
          <w:tcPr>
            <w:tcW w:type="dxa" w:w="5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кроме того:</w:t>
            </w:r>
          </w:p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360"/>
        </w:trPr>
        <w:tc>
          <w:tcPr>
            <w:tcW w:type="dxa" w:w="5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-уточнение доходов на основании уведомлений по расчетам между бюджетами</w:t>
            </w:r>
          </w:p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+275,0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x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x</w:t>
            </w:r>
          </w:p>
        </w:tc>
      </w:tr>
      <w:tr>
        <w:trPr>
          <w:trHeight w:hRule="atLeast" w:val="516"/>
        </w:trPr>
        <w:tc>
          <w:tcPr>
            <w:tcW w:type="dxa" w:w="5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-уточнение бюджетного плана на основании внесения изменений в бюджетную роспись</w:t>
            </w:r>
          </w:p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x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spacing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+275,0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x</w:t>
            </w:r>
          </w:p>
        </w:tc>
      </w:tr>
      <w:tr>
        <w:trPr>
          <w:trHeight w:hRule="atLeast" w:val="360"/>
        </w:trPr>
        <w:tc>
          <w:tcPr>
            <w:tcW w:type="dxa" w:w="50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Уточненный план на 01.04.2026 г.</w:t>
            </w:r>
          </w:p>
        </w:tc>
        <w:tc>
          <w:tcPr>
            <w:tcW w:type="dxa" w:w="1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1 160 223,8</w:t>
            </w:r>
          </w:p>
        </w:tc>
        <w:tc>
          <w:tcPr>
            <w:tcW w:type="dxa" w:w="1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1 172 618,0</w:t>
            </w:r>
          </w:p>
        </w:tc>
        <w:tc>
          <w:tcPr>
            <w:tcW w:type="dxa" w:w="1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line="240" w:lineRule="auto"/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-12 394,2</w:t>
            </w:r>
          </w:p>
        </w:tc>
      </w:tr>
    </w:tbl>
    <w:p w14:paraId="30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внесенных изменений плановый объем доходов по состоянию на 1 апреля 2026г. составил 1 160 223,8 тыс. рублей, плановый объем по расходам – 1 172 618,0 тыс. рублей. Дефицит бюджета составил 12 394,2 тыс. рублей.</w:t>
      </w:r>
    </w:p>
    <w:p w14:paraId="31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Показатели исполнения основных параметров бюджета муниципального округа за 1 квартал 2026 года представлены в таблице:</w:t>
      </w:r>
    </w:p>
    <w:p w14:paraId="32000000">
      <w:pPr>
        <w:spacing w:after="0" w:line="240" w:lineRule="auto"/>
        <w:ind w:firstLine="567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 xml:space="preserve">(тыс. рублей) </w:t>
      </w: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165"/>
        <w:gridCol w:w="1992"/>
        <w:gridCol w:w="1826"/>
        <w:gridCol w:w="1726"/>
        <w:gridCol w:w="1920"/>
      </w:tblGrid>
      <w:tr>
        <w:trPr>
          <w:trHeight w:hRule="atLeast" w:val="317"/>
        </w:trPr>
        <w:tc>
          <w:tcPr>
            <w:tcW w:type="dxa" w:w="21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</w:t>
            </w:r>
          </w:p>
        </w:tc>
        <w:tc>
          <w:tcPr>
            <w:tcW w:type="dxa" w:w="1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Уточненный план на 2026 г.</w:t>
            </w:r>
          </w:p>
        </w:tc>
        <w:tc>
          <w:tcPr>
            <w:tcW w:type="dxa" w:w="547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Исполнение</w:t>
            </w:r>
          </w:p>
        </w:tc>
      </w:tr>
      <w:tr>
        <w:trPr>
          <w:trHeight w:hRule="atLeast" w:val="360"/>
        </w:trPr>
        <w:tc>
          <w:tcPr>
            <w:tcW w:type="dxa" w:w="21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</w:t>
            </w:r>
            <w:r>
              <w:rPr>
                <w:rFonts w:ascii="Times New Roman" w:hAnsi="Times New Roman"/>
              </w:rPr>
              <w:t xml:space="preserve"> 2025г.</w:t>
            </w: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квартал </w:t>
            </w:r>
            <w:r>
              <w:rPr>
                <w:rFonts w:ascii="Times New Roman" w:hAnsi="Times New Roman"/>
              </w:rPr>
              <w:t>2026 г.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квартал 2026 г. к плану, %</w:t>
            </w:r>
          </w:p>
        </w:tc>
      </w:tr>
      <w:tr>
        <w:trPr>
          <w:trHeight w:hRule="atLeast" w:val="336"/>
        </w:trPr>
        <w:tc>
          <w:tcPr>
            <w:tcW w:type="dxa" w:w="21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</w:t>
            </w:r>
          </w:p>
        </w:tc>
        <w:tc>
          <w:tcPr>
            <w:tcW w:type="dxa" w:w="1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1 160 223,8</w:t>
            </w:r>
          </w:p>
        </w:tc>
        <w:tc>
          <w:tcPr>
            <w:tcW w:type="dxa" w:w="1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205 762,5</w:t>
            </w: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209 428,5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18,1</w:t>
            </w:r>
          </w:p>
        </w:tc>
      </w:tr>
      <w:tr>
        <w:trPr>
          <w:trHeight w:hRule="atLeast" w:val="360"/>
        </w:trPr>
        <w:tc>
          <w:tcPr>
            <w:tcW w:type="dxa" w:w="21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</w:t>
            </w:r>
          </w:p>
        </w:tc>
        <w:tc>
          <w:tcPr>
            <w:tcW w:type="dxa" w:w="1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1 172 618,0</w:t>
            </w:r>
          </w:p>
        </w:tc>
        <w:tc>
          <w:tcPr>
            <w:tcW w:type="dxa" w:w="1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188 652,8</w:t>
            </w: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214 484,3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18,3</w:t>
            </w:r>
          </w:p>
        </w:tc>
      </w:tr>
      <w:tr>
        <w:trPr>
          <w:trHeight w:hRule="atLeast" w:val="360"/>
        </w:trPr>
        <w:tc>
          <w:tcPr>
            <w:tcW w:type="dxa" w:w="21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Дефицит/Профицит</w:t>
            </w:r>
          </w:p>
        </w:tc>
        <w:tc>
          <w:tcPr>
            <w:tcW w:type="dxa" w:w="1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-12 394,2</w:t>
            </w:r>
          </w:p>
        </w:tc>
        <w:tc>
          <w:tcPr>
            <w:tcW w:type="dxa" w:w="1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+17 109,7</w:t>
            </w:r>
          </w:p>
        </w:tc>
        <w:tc>
          <w:tcPr>
            <w:tcW w:type="dxa" w:w="17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-5 055,8</w:t>
            </w:r>
          </w:p>
        </w:tc>
        <w:tc>
          <w:tcPr>
            <w:tcW w:type="dxa" w:w="19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</w:tbl>
    <w:p w14:paraId="48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отчетным данным фактическое поступление доходов по состоянию на 1 апреля 2026 г. составило 209 428,5 тыс. рублей или 18,1% от уточненного плана 1 160 223,8 тыс. рублей, кассовые расходы произведены на сумму 214 484,3 </w:t>
      </w:r>
      <w:r>
        <w:rPr>
          <w:rFonts w:ascii="Times New Roman" w:hAnsi="Times New Roman"/>
          <w:sz w:val="28"/>
        </w:rPr>
        <w:t>тыс</w:t>
      </w:r>
      <w:r>
        <w:rPr>
          <w:rFonts w:ascii="Times New Roman" w:hAnsi="Times New Roman"/>
          <w:sz w:val="28"/>
        </w:rPr>
        <w:t>.р</w:t>
      </w:r>
      <w:r>
        <w:rPr>
          <w:rFonts w:ascii="Times New Roman" w:hAnsi="Times New Roman"/>
          <w:sz w:val="28"/>
        </w:rPr>
        <w:t>ублей</w:t>
      </w:r>
      <w:r>
        <w:rPr>
          <w:rFonts w:ascii="Times New Roman" w:hAnsi="Times New Roman"/>
          <w:sz w:val="28"/>
        </w:rPr>
        <w:t xml:space="preserve"> или 18,3% от уточненного плана 1 172 618,0 тыс. рублей.</w:t>
      </w:r>
    </w:p>
    <w:p w14:paraId="49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Поступление доходов бюджета муниципального округа в отчетном периоде увеличилось относительно аналогичного периода 2025 года на сумму  3 666,0 </w:t>
      </w:r>
      <w:r>
        <w:rPr>
          <w:rFonts w:ascii="Times New Roman" w:hAnsi="Times New Roman"/>
          <w:sz w:val="28"/>
        </w:rPr>
        <w:t>тыс</w:t>
      </w:r>
      <w:r>
        <w:rPr>
          <w:rFonts w:ascii="Times New Roman" w:hAnsi="Times New Roman"/>
          <w:sz w:val="28"/>
        </w:rPr>
        <w:t>.р</w:t>
      </w:r>
      <w:r>
        <w:rPr>
          <w:rFonts w:ascii="Times New Roman" w:hAnsi="Times New Roman"/>
          <w:sz w:val="28"/>
        </w:rPr>
        <w:t>ублей</w:t>
      </w:r>
      <w:r>
        <w:rPr>
          <w:rFonts w:ascii="Times New Roman" w:hAnsi="Times New Roman"/>
          <w:sz w:val="28"/>
        </w:rPr>
        <w:t xml:space="preserve"> (1,8%), расходы бюджета увеличились на сумму 25 831,5</w:t>
      </w:r>
      <w:r>
        <w:rPr>
          <w:rFonts w:ascii="Times New Roman" w:hAnsi="Times New Roman"/>
          <w:sz w:val="28"/>
        </w:rPr>
        <w:t xml:space="preserve"> тыс. рублей (13,7%).</w:t>
      </w:r>
    </w:p>
    <w:p w14:paraId="4A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Бюджет муниципального округа по итогам 1 квартала 2026 года исполнен с дефицитом в сумме (-) 5 055,8 тыс. рублей.</w:t>
      </w:r>
    </w:p>
    <w:p w14:paraId="4B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</w:p>
    <w:p w14:paraId="4C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На основании изменений план по доходам бюджета муниципального округа на 01.04.2026 года составил 1 160 223,</w:t>
      </w:r>
      <w:r>
        <w:rPr>
          <w:rFonts w:ascii="Times New Roman" w:hAnsi="Times New Roman"/>
          <w:sz w:val="28"/>
        </w:rPr>
        <w:t>8 тыс. рублей и был увеличен в целом на 30 285,4 тыс. рублей или на 2,7% по сравнению с первоначальным планом по доходам бюджета муниципального округа (1 129 938,4 тыс. рублей), в том числе за счет увеличения:</w:t>
      </w:r>
    </w:p>
    <w:p w14:paraId="4D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налоговых и неналоговых доходов на 391,0 тыс. рублей;</w:t>
      </w:r>
    </w:p>
    <w:p w14:paraId="4E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безвозмездных поступлений на </w:t>
      </w:r>
      <w:r>
        <w:rPr>
          <w:rFonts w:ascii="Times New Roman" w:hAnsi="Times New Roman"/>
          <w:sz w:val="28"/>
        </w:rPr>
        <w:t>29 894,4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тыс</w:t>
      </w:r>
      <w:r>
        <w:rPr>
          <w:rFonts w:ascii="Times New Roman" w:hAnsi="Times New Roman"/>
          <w:sz w:val="28"/>
        </w:rPr>
        <w:t>.р</w:t>
      </w:r>
      <w:r>
        <w:rPr>
          <w:rFonts w:ascii="Times New Roman" w:hAnsi="Times New Roman"/>
          <w:sz w:val="28"/>
        </w:rPr>
        <w:t>ублей.</w:t>
      </w:r>
    </w:p>
    <w:p w14:paraId="4F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Исполнение по налоговым и неналоговым доходам составило в сумме        47 253,8 тыс. рублей или 18,7%, по безвозмездным поступлениям (с учетом возврата остатков прошлых лет) – 162 174,7 тыс. рублей  или 17,9%.</w:t>
      </w:r>
    </w:p>
    <w:p w14:paraId="50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Доля налоговых и неналоговых доходов по итогам исполнения бюджета муниципального округа за 1 квартал 2026 года составила 22,6%, доля безвозмездных поступлений –77,4%.</w:t>
      </w:r>
    </w:p>
    <w:p w14:paraId="51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по</w:t>
      </w:r>
      <w:r>
        <w:rPr>
          <w:rFonts w:ascii="Times New Roman" w:hAnsi="Times New Roman"/>
          <w:b w:val="1"/>
          <w:sz w:val="28"/>
        </w:rPr>
        <w:t xml:space="preserve"> налоговым доходам</w:t>
      </w:r>
      <w:r>
        <w:rPr>
          <w:rFonts w:ascii="Times New Roman" w:hAnsi="Times New Roman"/>
          <w:sz w:val="28"/>
        </w:rPr>
        <w:t xml:space="preserve"> исполнен на 17,0%, в отчетном периоде в бюджет муниципального округа поступило 41 464,8 </w:t>
      </w:r>
      <w:r>
        <w:rPr>
          <w:rFonts w:ascii="Times New Roman" w:hAnsi="Times New Roman"/>
          <w:sz w:val="28"/>
        </w:rPr>
        <w:t>тыс</w:t>
      </w:r>
      <w:r>
        <w:rPr>
          <w:rFonts w:ascii="Times New Roman" w:hAnsi="Times New Roman"/>
          <w:sz w:val="28"/>
        </w:rPr>
        <w:t>.р</w:t>
      </w:r>
      <w:r>
        <w:rPr>
          <w:rFonts w:ascii="Times New Roman" w:hAnsi="Times New Roman"/>
          <w:sz w:val="28"/>
        </w:rPr>
        <w:t>ублей</w:t>
      </w:r>
      <w:r>
        <w:rPr>
          <w:rFonts w:ascii="Times New Roman" w:hAnsi="Times New Roman"/>
          <w:sz w:val="28"/>
        </w:rPr>
        <w:t xml:space="preserve">, что на 480,5 </w:t>
      </w:r>
      <w:r>
        <w:rPr>
          <w:rFonts w:ascii="Times New Roman" w:hAnsi="Times New Roman"/>
          <w:sz w:val="28"/>
        </w:rPr>
        <w:t>тыс.рублей</w:t>
      </w:r>
      <w:r>
        <w:rPr>
          <w:rFonts w:ascii="Times New Roman" w:hAnsi="Times New Roman"/>
          <w:sz w:val="28"/>
        </w:rPr>
        <w:t xml:space="preserve"> больше 1 квартала 2025 года.</w:t>
      </w:r>
    </w:p>
    <w:p w14:paraId="52000000">
      <w:pPr>
        <w:pStyle w:val="Style_1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Основную долю поступлений по налоговым доходам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составил </w:t>
      </w:r>
      <w:r>
        <w:rPr>
          <w:rFonts w:ascii="Times New Roman" w:hAnsi="Times New Roman"/>
          <w:i w:val="1"/>
          <w:sz w:val="28"/>
        </w:rPr>
        <w:t>налог на доходы физических лиц</w:t>
      </w:r>
      <w:r>
        <w:rPr>
          <w:rFonts w:ascii="Times New Roman" w:hAnsi="Times New Roman"/>
          <w:sz w:val="28"/>
        </w:rPr>
        <w:t xml:space="preserve"> в сумме 34 898,6 </w:t>
      </w:r>
      <w:r>
        <w:rPr>
          <w:rFonts w:ascii="Times New Roman" w:hAnsi="Times New Roman"/>
          <w:sz w:val="28"/>
        </w:rPr>
        <w:t>тыс</w:t>
      </w:r>
      <w:r>
        <w:rPr>
          <w:rFonts w:ascii="Times New Roman" w:hAnsi="Times New Roman"/>
          <w:sz w:val="28"/>
        </w:rPr>
        <w:t>.р</w:t>
      </w:r>
      <w:r>
        <w:rPr>
          <w:rFonts w:ascii="Times New Roman" w:hAnsi="Times New Roman"/>
          <w:sz w:val="28"/>
        </w:rPr>
        <w:t>ублей</w:t>
      </w:r>
      <w:r>
        <w:rPr>
          <w:rFonts w:ascii="Times New Roman" w:hAnsi="Times New Roman"/>
          <w:sz w:val="28"/>
        </w:rPr>
        <w:t xml:space="preserve"> или 84,2%. Увеличение к уровню аналогичного периода 2025 года составило 111,3% или 3 538,9 тыс.рублей.</w:t>
      </w:r>
    </w:p>
    <w:p w14:paraId="53000000">
      <w:pPr>
        <w:pStyle w:val="Style_1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Уточненные плановые назначения по </w:t>
      </w:r>
      <w:r>
        <w:rPr>
          <w:rFonts w:ascii="Times New Roman" w:hAnsi="Times New Roman"/>
          <w:b w:val="1"/>
          <w:sz w:val="28"/>
        </w:rPr>
        <w:t>неналоговым доходам</w:t>
      </w:r>
      <w:r>
        <w:rPr>
          <w:rFonts w:ascii="Times New Roman" w:hAnsi="Times New Roman"/>
          <w:sz w:val="28"/>
        </w:rPr>
        <w:t xml:space="preserve"> утверждены в сумме 8 842,2 </w:t>
      </w:r>
      <w:r>
        <w:rPr>
          <w:rFonts w:ascii="Times New Roman" w:hAnsi="Times New Roman"/>
          <w:sz w:val="28"/>
        </w:rPr>
        <w:t>тыс</w:t>
      </w:r>
      <w:r>
        <w:rPr>
          <w:rFonts w:ascii="Times New Roman" w:hAnsi="Times New Roman"/>
          <w:sz w:val="28"/>
        </w:rPr>
        <w:t>.р</w:t>
      </w:r>
      <w:r>
        <w:rPr>
          <w:rFonts w:ascii="Times New Roman" w:hAnsi="Times New Roman"/>
          <w:sz w:val="28"/>
        </w:rPr>
        <w:t>ублей</w:t>
      </w:r>
      <w:r>
        <w:rPr>
          <w:rFonts w:ascii="Times New Roman" w:hAnsi="Times New Roman"/>
          <w:sz w:val="28"/>
        </w:rPr>
        <w:t>. Фактическое исполнение плана в отчетном периоде составило 65,5%, в бюджет муниципального округа поступило 5 789,0 тыс. рублей, что на 3 065,0 тыс. рублей больше аналогичного периода 2025 года.</w:t>
      </w:r>
    </w:p>
    <w:p w14:paraId="54000000">
      <w:pPr>
        <w:pStyle w:val="Style_1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Основную долю поступлений по неналоговым доходам составили </w:t>
      </w:r>
      <w:r>
        <w:rPr>
          <w:rFonts w:ascii="Times New Roman" w:hAnsi="Times New Roman"/>
          <w:i w:val="1"/>
          <w:sz w:val="28"/>
        </w:rPr>
        <w:t>доходы от оказания платных услуг и компенсации затрат государства</w:t>
      </w:r>
      <w:r>
        <w:rPr>
          <w:rFonts w:ascii="Times New Roman" w:hAnsi="Times New Roman"/>
          <w:sz w:val="28"/>
        </w:rPr>
        <w:t xml:space="preserve"> –3 835,7 </w:t>
      </w:r>
      <w:r>
        <w:rPr>
          <w:rFonts w:ascii="Times New Roman" w:hAnsi="Times New Roman"/>
          <w:sz w:val="28"/>
        </w:rPr>
        <w:t>тыс</w:t>
      </w:r>
      <w:r>
        <w:rPr>
          <w:rFonts w:ascii="Times New Roman" w:hAnsi="Times New Roman"/>
          <w:sz w:val="28"/>
        </w:rPr>
        <w:t>.р</w:t>
      </w:r>
      <w:r>
        <w:rPr>
          <w:rFonts w:ascii="Times New Roman" w:hAnsi="Times New Roman"/>
          <w:sz w:val="28"/>
        </w:rPr>
        <w:t>ублей</w:t>
      </w:r>
      <w:r>
        <w:rPr>
          <w:rFonts w:ascii="Times New Roman" w:hAnsi="Times New Roman"/>
          <w:sz w:val="28"/>
        </w:rPr>
        <w:t xml:space="preserve"> или 66,3%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доходы от использования имущества, находящегося в муниципальной собственности</w:t>
      </w:r>
      <w:r>
        <w:rPr>
          <w:rFonts w:ascii="Times New Roman" w:hAnsi="Times New Roman"/>
          <w:sz w:val="28"/>
        </w:rPr>
        <w:t xml:space="preserve"> – 1 449,1 тыс. рублей или 25,0%</w:t>
      </w:r>
      <w:r>
        <w:rPr>
          <w:rFonts w:ascii="Times New Roman" w:hAnsi="Times New Roman"/>
          <w:b w:val="0"/>
          <w:i w:val="1"/>
          <w:color w:val="000000"/>
          <w:sz w:val="28"/>
        </w:rPr>
        <w:t>.</w:t>
      </w:r>
    </w:p>
    <w:p w14:paraId="55000000">
      <w:pPr>
        <w:pStyle w:val="Style_1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Наибольший удельный вес в доходах бюджета муниципального округа занимают безвозмездные поступления – 77,4%.</w:t>
      </w:r>
    </w:p>
    <w:p w14:paraId="56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Безвозмездные поступления</w:t>
      </w:r>
      <w:r>
        <w:rPr>
          <w:rFonts w:ascii="Times New Roman" w:hAnsi="Times New Roman"/>
          <w:sz w:val="28"/>
        </w:rPr>
        <w:t xml:space="preserve"> от других бюджетов бюджетной системы Российской Федерации за 1 квартал 2026 года составили 164 426,9 тыс. рублей или 18,1% от плановых назначений 908 318,8 тыс. рублей, из них:</w:t>
      </w:r>
    </w:p>
    <w:p w14:paraId="57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-дотации составили 82 390,5 тыс. рублей или 23,7% от плановых назначений 346 907,4 тыс. рублей. Уменьшение по сравнению с 1 кварталом 2025 года на 609,6 тыс. рублей или «-»0,7%;</w:t>
      </w:r>
    </w:p>
    <w:p w14:paraId="58000000">
      <w:pPr>
        <w:numPr>
          <w:ilvl w:val="0"/>
          <w:numId w:val="1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субвенции составили 67 599,2 тыс. рублей или 22,7% от плановых назначений 298 392,6 тыс. рублей. </w:t>
      </w:r>
      <w:r>
        <w:rPr>
          <w:rFonts w:ascii="Times New Roman" w:hAnsi="Times New Roman"/>
          <w:sz w:val="28"/>
        </w:rPr>
        <w:t>Уменьшение по сравнению с 1 кварталом 2025 года на 2 194,8 тыс. рублей или «-»3,1%</w:t>
      </w:r>
      <w:r>
        <w:rPr>
          <w:rFonts w:ascii="Times New Roman" w:hAnsi="Times New Roman"/>
          <w:sz w:val="28"/>
        </w:rPr>
        <w:t>;</w:t>
      </w:r>
    </w:p>
    <w:p w14:paraId="59000000">
      <w:pPr>
        <w:numPr>
          <w:ilvl w:val="0"/>
          <w:numId w:val="1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субсидии составили 14 109,8 </w:t>
      </w:r>
      <w:r>
        <w:rPr>
          <w:rFonts w:ascii="Times New Roman" w:hAnsi="Times New Roman"/>
          <w:sz w:val="28"/>
        </w:rPr>
        <w:t>тыс</w:t>
      </w:r>
      <w:r>
        <w:rPr>
          <w:rFonts w:ascii="Times New Roman" w:hAnsi="Times New Roman"/>
          <w:sz w:val="28"/>
        </w:rPr>
        <w:t>.р</w:t>
      </w:r>
      <w:r>
        <w:rPr>
          <w:rFonts w:ascii="Times New Roman" w:hAnsi="Times New Roman"/>
          <w:sz w:val="28"/>
        </w:rPr>
        <w:t>ублей</w:t>
      </w:r>
      <w:r>
        <w:rPr>
          <w:rFonts w:ascii="Times New Roman" w:hAnsi="Times New Roman"/>
          <w:sz w:val="28"/>
        </w:rPr>
        <w:t xml:space="preserve"> или 5,5% от плановых назначений 256 046,1 </w:t>
      </w:r>
      <w:r>
        <w:rPr>
          <w:rFonts w:ascii="Times New Roman" w:hAnsi="Times New Roman"/>
          <w:sz w:val="28"/>
        </w:rPr>
        <w:t>тыс.рублей. Увеличение</w:t>
      </w:r>
      <w:r>
        <w:rPr>
          <w:rFonts w:ascii="Times New Roman" w:hAnsi="Times New Roman"/>
          <w:sz w:val="28"/>
        </w:rPr>
        <w:t xml:space="preserve"> по сравнению с 1 кварталом 2025 года на 5 120,7 тыс. рублей или 57,0%</w:t>
      </w:r>
      <w:r>
        <w:rPr>
          <w:rFonts w:ascii="Times New Roman" w:hAnsi="Times New Roman"/>
          <w:sz w:val="28"/>
        </w:rPr>
        <w:t>;</w:t>
      </w:r>
    </w:p>
    <w:p w14:paraId="5A000000">
      <w:pPr>
        <w:numPr>
          <w:ilvl w:val="0"/>
          <w:numId w:val="1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иные межбюджетные трансферты составили 327,4 тыс. рублей или 4,7% от плановых назначений 6 972,7 тыс. рублей. </w:t>
      </w:r>
      <w:r>
        <w:rPr>
          <w:rFonts w:ascii="Times New Roman" w:hAnsi="Times New Roman"/>
          <w:sz w:val="28"/>
        </w:rPr>
        <w:t>Уменьшение по сравнению с 1 кварталом 2025 года на 1 064,6 тыс. рублей или «-»76,5%</w:t>
      </w:r>
    </w:p>
    <w:p w14:paraId="5B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1 квартал 2026 года из бюджета муниципального округа были возвращены остатки субсидий, субвенций и иных межбюджетных трансфертов, имеющих целевое назначение, прошлых лет в сумме 3 104,4 тыс. рублей или 100</w:t>
      </w:r>
      <w:r>
        <w:rPr>
          <w:rFonts w:ascii="Times New Roman" w:hAnsi="Times New Roman"/>
          <w:sz w:val="28"/>
        </w:rPr>
        <w:t>,0% плановых назначений.</w:t>
      </w:r>
    </w:p>
    <w:p w14:paraId="5C000000">
      <w:pPr>
        <w:pStyle w:val="Style_1"/>
        <w:spacing w:line="240" w:lineRule="auto"/>
        <w:ind w:firstLine="567" w:left="0"/>
        <w:jc w:val="both"/>
        <w:rPr>
          <w:rFonts w:ascii="Times New Roman" w:hAnsi="Times New Roman"/>
          <w:sz w:val="28"/>
          <w:shd w:fill="FFE779" w:val="clear"/>
        </w:rPr>
      </w:pPr>
      <w:r>
        <w:rPr>
          <w:rFonts w:ascii="Times New Roman" w:hAnsi="Times New Roman"/>
          <w:b w:val="0"/>
          <w:color w:val="000000"/>
          <w:sz w:val="28"/>
        </w:rPr>
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 с</w:t>
      </w:r>
      <w:r>
        <w:rPr>
          <w:rFonts w:ascii="Times New Roman" w:hAnsi="Times New Roman"/>
          <w:sz w:val="28"/>
        </w:rPr>
        <w:t>оставили 852,2 тыс.рублей или 113,3% от плановых назначений 765,8 тыс. рублей.</w:t>
      </w:r>
    </w:p>
    <w:p w14:paraId="5D000000">
      <w:pPr>
        <w:pStyle w:val="Style_1"/>
        <w:spacing w:line="240" w:lineRule="auto"/>
        <w:ind w:firstLine="567" w:left="0"/>
        <w:jc w:val="both"/>
        <w:rPr>
          <w:rFonts w:ascii="Times New Roman" w:hAnsi="Times New Roman"/>
          <w:sz w:val="28"/>
          <w:shd w:fill="FFE779" w:val="clear"/>
        </w:rPr>
      </w:pPr>
    </w:p>
    <w:p w14:paraId="5E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 xml:space="preserve">На основании изменений, уточненный план расходов бюджета муниципального округа на отчетный период 2026 года составил 1 172 618,0 тыс. рублей и увеличен на 42 679,6 тыс. рублей или 3,8% по сравнению с первоначально утвержденным планом 1 129 938,4 </w:t>
      </w:r>
      <w:r>
        <w:rPr>
          <w:rFonts w:ascii="Times New Roman" w:hAnsi="Times New Roman"/>
          <w:sz w:val="28"/>
        </w:rPr>
        <w:t>тыс</w:t>
      </w:r>
      <w:r>
        <w:rPr>
          <w:rFonts w:ascii="Times New Roman" w:hAnsi="Times New Roman"/>
          <w:sz w:val="28"/>
        </w:rPr>
        <w:t>.р</w:t>
      </w:r>
      <w:r>
        <w:rPr>
          <w:rFonts w:ascii="Times New Roman" w:hAnsi="Times New Roman"/>
          <w:sz w:val="28"/>
        </w:rPr>
        <w:t>ублей</w:t>
      </w:r>
      <w:r>
        <w:rPr>
          <w:rFonts w:ascii="Times New Roman" w:hAnsi="Times New Roman"/>
          <w:sz w:val="28"/>
        </w:rPr>
        <w:t>.</w:t>
      </w:r>
    </w:p>
    <w:p w14:paraId="5F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 бюджета муниципального округа за 1 квартал 2026 года исполнены в сумме 214 484,3 тыс. рублей или 18,3% от уточненного годового плана 1 172 618,0 тыс. рублей, с увеличением на 25 831,5 тыс. рублей к уровню исполнения расходов в аналогичном периоде 2025 года (188 652,8 тыс. рублей).</w:t>
      </w:r>
    </w:p>
    <w:p w14:paraId="60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 бюджета муниципального округа были направлены на реализацию муниципальных программ (90,8% от кассовых расходов) и непрограммных мероприятий (9,2%).</w:t>
      </w:r>
    </w:p>
    <w:p w14:paraId="61000000">
      <w:pPr>
        <w:pStyle w:val="Style_1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</w:t>
      </w:r>
      <w:r>
        <w:rPr>
          <w:rFonts w:ascii="Times New Roman" w:hAnsi="Times New Roman"/>
          <w:b w:val="1"/>
          <w:sz w:val="28"/>
        </w:rPr>
        <w:t>ведомственной структуре расходов</w:t>
      </w:r>
      <w:r>
        <w:rPr>
          <w:rFonts w:ascii="Times New Roman" w:hAnsi="Times New Roman"/>
          <w:sz w:val="28"/>
        </w:rPr>
        <w:t xml:space="preserve"> бюджета муниципального округа на 01 апреля 2026 года, бюджетные ассигнования на 2026 год утверждены 8 главным распорядителям бюджетных средств.</w:t>
      </w:r>
    </w:p>
    <w:p w14:paraId="62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Наибольшую долю в общем объеме расходов бюджета муниципального округа в отчетном периоде составили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расходы по управлению образования и молодежной политики администрации Шарангского муниципального округа - 50,0% (107 251,2 тыс. рублей), администрации </w:t>
      </w:r>
      <w:r>
        <w:rPr>
          <w:rFonts w:ascii="Times New Roman" w:hAnsi="Times New Roman"/>
          <w:sz w:val="28"/>
        </w:rPr>
        <w:t>Шарангского</w:t>
      </w:r>
      <w:r>
        <w:rPr>
          <w:rFonts w:ascii="Times New Roman" w:hAnsi="Times New Roman"/>
          <w:sz w:val="28"/>
        </w:rPr>
        <w:t xml:space="preserve"> муниципального округа -32,9% (70 671,5 </w:t>
      </w:r>
      <w:r>
        <w:rPr>
          <w:rFonts w:ascii="Times New Roman" w:hAnsi="Times New Roman"/>
          <w:sz w:val="28"/>
        </w:rPr>
        <w:t>тыс</w:t>
      </w:r>
      <w:r>
        <w:rPr>
          <w:rFonts w:ascii="Times New Roman" w:hAnsi="Times New Roman"/>
          <w:sz w:val="28"/>
        </w:rPr>
        <w:t>.р</w:t>
      </w:r>
      <w:r>
        <w:rPr>
          <w:rFonts w:ascii="Times New Roman" w:hAnsi="Times New Roman"/>
          <w:sz w:val="28"/>
        </w:rPr>
        <w:t>ублей</w:t>
      </w:r>
      <w:r>
        <w:rPr>
          <w:rFonts w:ascii="Times New Roman" w:hAnsi="Times New Roman"/>
          <w:sz w:val="28"/>
        </w:rPr>
        <w:t>) и отдела культуры, туризма и народных художественных промыслов - 14,1% (30 154,4 тыс. рублей).</w:t>
      </w:r>
    </w:p>
    <w:p w14:paraId="63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Наибольшую долю в общем объеме расходов бюджета муниципального округа за 1 квартал 2026 года составили расходы по разделам:</w:t>
      </w:r>
    </w:p>
    <w:p w14:paraId="64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0700 «Образование» - 51,6% или 110 652,4 </w:t>
      </w:r>
      <w:r>
        <w:rPr>
          <w:rFonts w:ascii="Times New Roman" w:hAnsi="Times New Roman"/>
          <w:sz w:val="28"/>
        </w:rPr>
        <w:t>тыс</w:t>
      </w:r>
      <w:r>
        <w:rPr>
          <w:rFonts w:ascii="Times New Roman" w:hAnsi="Times New Roman"/>
          <w:sz w:val="28"/>
        </w:rPr>
        <w:t>.р</w:t>
      </w:r>
      <w:r>
        <w:rPr>
          <w:rFonts w:ascii="Times New Roman" w:hAnsi="Times New Roman"/>
          <w:sz w:val="28"/>
        </w:rPr>
        <w:t>ублей;</w:t>
      </w:r>
    </w:p>
    <w:p w14:paraId="65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0800 «Культура, кинематография» -12,3% или 26 395,9 тыс. рублей;</w:t>
      </w:r>
    </w:p>
    <w:p w14:paraId="66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0100 «Общегосударственные вопросы»– 9,4% или 20 128,5 тыс. рублей;</w:t>
      </w:r>
    </w:p>
    <w:p w14:paraId="67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0500 «Жилищно-коммунальное хозяйство» –7,8% или 16 660,1 тыс. рублей.</w:t>
      </w:r>
    </w:p>
    <w:p w14:paraId="68000000">
      <w:pPr>
        <w:pStyle w:val="Style_1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 на социальную сферу (включая отрасли образования, культуры, социальной политики, физической культуры и спорта) в целом составили 72,7% к общему объему произведенных расходов бюджета или 155 988,2 тыс. рублей. Таким образом, социальная сфера остается основополагающим приоритетом расхода бюджета муниципального округа.</w:t>
      </w:r>
    </w:p>
    <w:p w14:paraId="69000000">
      <w:pPr>
        <w:pStyle w:val="Style_1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о бюджете предусмотрено финансирование 23 муниципальных программ с общей суммой бюджетных назначений на 2026 год 1 041 372,8 тыс. рублей.</w:t>
      </w:r>
    </w:p>
    <w:p w14:paraId="6A000000">
      <w:pPr>
        <w:pStyle w:val="Style_1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Кассовые расходы на финансирование программных мероприятий составили 194 844,7 тыс. рублей или 18,7% от годовых плановых назначений   (1 041 372,8 тыс. рублей), предусмотренных на финансирование муниципальных программ.</w:t>
      </w:r>
    </w:p>
    <w:p w14:paraId="6B000000">
      <w:pPr>
        <w:pStyle w:val="Style_1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структуре кассовых расходов наибольший объем финансового обеспечения приходятся на муниципальную программу «Развитие образования </w:t>
      </w:r>
      <w:r>
        <w:rPr>
          <w:rFonts w:ascii="Times New Roman" w:hAnsi="Times New Roman"/>
          <w:sz w:val="28"/>
        </w:rPr>
        <w:t>Шарангского</w:t>
      </w:r>
      <w:r>
        <w:rPr>
          <w:rFonts w:ascii="Times New Roman" w:hAnsi="Times New Roman"/>
          <w:sz w:val="28"/>
        </w:rPr>
        <w:t xml:space="preserve"> муниципального округа» –54,9% или 107 053,6 тыс. рублей от общих расходов на реализацию муниципальных программ 194 844,7 тыс. рублей.</w:t>
      </w:r>
    </w:p>
    <w:p w14:paraId="6C000000">
      <w:pPr>
        <w:pStyle w:val="Style_1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Непрограммные расходы бюджета в отчетный период исполнены в сумме 19 639,6 </w:t>
      </w:r>
      <w:r>
        <w:rPr>
          <w:rFonts w:ascii="Times New Roman" w:hAnsi="Times New Roman"/>
          <w:sz w:val="28"/>
        </w:rPr>
        <w:t>тыс</w:t>
      </w:r>
      <w:r>
        <w:rPr>
          <w:rFonts w:ascii="Times New Roman" w:hAnsi="Times New Roman"/>
          <w:sz w:val="28"/>
        </w:rPr>
        <w:t>.р</w:t>
      </w:r>
      <w:r>
        <w:rPr>
          <w:rFonts w:ascii="Times New Roman" w:hAnsi="Times New Roman"/>
          <w:sz w:val="28"/>
        </w:rPr>
        <w:t>ублей</w:t>
      </w:r>
      <w:r>
        <w:rPr>
          <w:rFonts w:ascii="Times New Roman" w:hAnsi="Times New Roman"/>
          <w:sz w:val="28"/>
        </w:rPr>
        <w:t xml:space="preserve"> или 15,0% от уточненного плана 131 245,2 тыс. рублей и составили 9,2% к общему объему расходов бюджета муниципального округа за 1 квартал 2026 года (214 484,3 тыс. рублей).</w:t>
      </w:r>
    </w:p>
    <w:p w14:paraId="6D000000">
      <w:pPr>
        <w:pStyle w:val="Style_1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6E000000">
      <w:pPr>
        <w:pStyle w:val="Style_1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По состоянию на 01 апреля 2026 г.</w:t>
      </w:r>
      <w:r>
        <w:rPr>
          <w:rFonts w:ascii="Times New Roman" w:hAnsi="Times New Roman"/>
          <w:sz w:val="28"/>
        </w:rPr>
        <w:t xml:space="preserve"> муниципальный долг отсутствует.</w:t>
      </w:r>
    </w:p>
    <w:p w14:paraId="6F000000">
      <w:pPr>
        <w:pStyle w:val="Style_1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70000000">
      <w:pPr>
        <w:pStyle w:val="Style_1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b w:val="0"/>
          <w:sz w:val="28"/>
        </w:rPr>
        <w:t>Средства резервного фонда в размере 100,0 тыс. рублей были направлены на выплату социальной помощи семье лица, погибшего при выполнении задач в ходе специальной военной операции.</w:t>
      </w:r>
    </w:p>
    <w:p w14:paraId="71000000">
      <w:pPr>
        <w:pStyle w:val="Style_1"/>
        <w:spacing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72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sz w:val="28"/>
        </w:rPr>
        <w:t>6.</w:t>
      </w:r>
      <w:r>
        <w:rPr>
          <w:rFonts w:ascii="Times New Roman" w:hAnsi="Times New Roman"/>
          <w:i w:val="0"/>
          <w:sz w:val="28"/>
        </w:rPr>
        <w:t>Расходы дорожного фонда исполнялись в рамках муниципальной программы «Развитие транспортной системы в Шарангском муниципальном округе Нижегородской области в 2026-2030 годы».</w:t>
      </w:r>
    </w:p>
    <w:p w14:paraId="73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Расходы на </w:t>
      </w:r>
      <w:r>
        <w:rPr>
          <w:rFonts w:ascii="Times New Roman" w:hAnsi="Times New Roman"/>
          <w:i w:val="0"/>
          <w:sz w:val="28"/>
        </w:rPr>
        <w:t>содержание автомобильных дорог общего пользования составили 11 349,7 тыс.рублей или 68,4% от уточненного плана (16 584,1 тыс. рублей).</w:t>
      </w:r>
    </w:p>
    <w:p w14:paraId="74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</w:p>
    <w:p w14:paraId="75000000">
      <w:pPr>
        <w:pStyle w:val="Style_1"/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7. </w:t>
      </w:r>
      <w:r>
        <w:rPr>
          <w:rFonts w:ascii="Times New Roman" w:hAnsi="Times New Roman"/>
          <w:sz w:val="28"/>
        </w:rPr>
        <w:t xml:space="preserve">По состоянию на 01.04.2026 на территории Шарангского муниципального округа функционировало 30 учреждений, учредителями которых являются органы исполнительной власти Шарангского муниципального округа, в том числе 27 муниципальных бюджетных учреждений и 3 муниципальных автономных учреждений. </w:t>
      </w:r>
    </w:p>
    <w:p w14:paraId="76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sz w:val="28"/>
        </w:rPr>
        <w:t>За 1 квартал 2026 года исполнение плана финансово-хозяйственной деятельности бюджетными и автономными учреждениями по видам финансового обеспечения их деятельности сложилось следующее:</w:t>
      </w:r>
    </w:p>
    <w:p w14:paraId="77000000">
      <w:pPr>
        <w:spacing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i w:val="0"/>
          <w:sz w:val="28"/>
        </w:rPr>
      </w:pPr>
    </w:p>
    <w:tbl>
      <w:tblPr>
        <w:tblInd w:type="dxa" w:w="0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71"/>
        <w:gridCol w:w="1200"/>
        <w:gridCol w:w="1188"/>
        <w:gridCol w:w="876"/>
        <w:gridCol w:w="1222"/>
        <w:gridCol w:w="1128"/>
        <w:gridCol w:w="852"/>
      </w:tblGrid>
      <w:tr>
        <w:tc>
          <w:tcPr>
            <w:tcW w:type="dxa" w:w="317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Наименование</w:t>
            </w:r>
          </w:p>
        </w:tc>
        <w:tc>
          <w:tcPr>
            <w:tcW w:type="dxa" w:w="3264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ДОХОДЫ</w:t>
            </w:r>
            <w:r>
              <w:rPr>
                <w:rFonts w:ascii="Times New Roman" w:hAnsi="Times New Roman"/>
                <w:b w:val="0"/>
                <w:sz w:val="20"/>
              </w:rPr>
              <w:br/>
            </w:r>
            <w:r>
              <w:rPr>
                <w:rFonts w:ascii="Times New Roman" w:hAnsi="Times New Roman"/>
                <w:b w:val="0"/>
                <w:sz w:val="20"/>
              </w:rPr>
              <w:t>(тыс.рублей)</w:t>
            </w:r>
          </w:p>
        </w:tc>
        <w:tc>
          <w:tcPr>
            <w:tcW w:type="dxa" w:w="3202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РАСХОДЫ</w:t>
            </w:r>
            <w:r>
              <w:rPr>
                <w:rFonts w:ascii="Times New Roman" w:hAnsi="Times New Roman"/>
                <w:b w:val="0"/>
                <w:sz w:val="20"/>
              </w:rPr>
              <w:br/>
            </w:r>
            <w:r>
              <w:rPr>
                <w:rFonts w:ascii="Times New Roman" w:hAnsi="Times New Roman"/>
                <w:b w:val="0"/>
                <w:sz w:val="20"/>
              </w:rPr>
              <w:t>(тыс.рублей)</w:t>
            </w:r>
          </w:p>
        </w:tc>
      </w:tr>
      <w:tr>
        <w:trPr>
          <w:trHeight w:hRule="atLeast" w:val="546"/>
        </w:trPr>
        <w:tc>
          <w:tcPr>
            <w:tcW w:type="dxa" w:w="317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план</w:t>
            </w:r>
          </w:p>
        </w:tc>
        <w:tc>
          <w:tcPr>
            <w:tcW w:type="dxa" w:w="11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исполнено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% от плана</w:t>
            </w:r>
          </w:p>
        </w:tc>
        <w:tc>
          <w:tcPr>
            <w:tcW w:type="dxa" w:w="12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план*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исполнено</w:t>
            </w:r>
          </w:p>
        </w:tc>
        <w:tc>
          <w:tcPr>
            <w:tcW w:type="dxa" w:w="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% от плана</w:t>
            </w:r>
          </w:p>
        </w:tc>
      </w:tr>
      <w:tr>
        <w:trPr>
          <w:trHeight w:hRule="atLeast" w:val="495"/>
        </w:trPr>
        <w:tc>
          <w:tcPr>
            <w:tcW w:type="dxa" w:w="3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Субсидии на выполнение муниципального задания</w:t>
            </w:r>
          </w:p>
        </w:tc>
        <w:tc>
          <w:tcPr>
            <w:tcW w:type="dxa" w:w="1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556 207,5</w:t>
            </w:r>
          </w:p>
        </w:tc>
        <w:tc>
          <w:tcPr>
            <w:tcW w:type="dxa" w:w="11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133 614,4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24,0</w:t>
            </w:r>
          </w:p>
        </w:tc>
        <w:tc>
          <w:tcPr>
            <w:tcW w:type="dxa" w:w="12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569 839,2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123 422,7</w:t>
            </w:r>
          </w:p>
        </w:tc>
        <w:tc>
          <w:tcPr>
            <w:tcW w:type="dxa" w:w="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21,7</w:t>
            </w:r>
          </w:p>
        </w:tc>
      </w:tr>
      <w:tr>
        <w:trPr>
          <w:trHeight w:hRule="atLeast" w:val="412"/>
        </w:trPr>
        <w:tc>
          <w:tcPr>
            <w:tcW w:type="dxa" w:w="3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Субсидии на иные цели</w:t>
            </w:r>
          </w:p>
        </w:tc>
        <w:tc>
          <w:tcPr>
            <w:tcW w:type="dxa" w:w="1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37 969,3</w:t>
            </w:r>
          </w:p>
        </w:tc>
        <w:tc>
          <w:tcPr>
            <w:tcW w:type="dxa" w:w="11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7 733,0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20,4</w:t>
            </w:r>
          </w:p>
        </w:tc>
        <w:tc>
          <w:tcPr>
            <w:tcW w:type="dxa" w:w="12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38 004,8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4 753,9</w:t>
            </w:r>
          </w:p>
        </w:tc>
        <w:tc>
          <w:tcPr>
            <w:tcW w:type="dxa" w:w="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12,5</w:t>
            </w:r>
          </w:p>
        </w:tc>
      </w:tr>
      <w:tr>
        <w:tc>
          <w:tcPr>
            <w:tcW w:type="dxa" w:w="31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spacing w:after="0" w:before="0"/>
              <w:ind w:firstLine="0" w:left="0" w:right="0"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</w:t>
            </w:r>
          </w:p>
        </w:tc>
        <w:tc>
          <w:tcPr>
            <w:tcW w:type="dxa" w:w="1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594 176,8</w:t>
            </w:r>
          </w:p>
        </w:tc>
        <w:tc>
          <w:tcPr>
            <w:tcW w:type="dxa" w:w="11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141 347,4</w:t>
            </w:r>
          </w:p>
        </w:tc>
        <w:tc>
          <w:tcPr>
            <w:tcW w:type="dxa" w:w="8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23,8</w:t>
            </w:r>
          </w:p>
        </w:tc>
        <w:tc>
          <w:tcPr>
            <w:tcW w:type="dxa" w:w="12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607 844,0</w:t>
            </w:r>
          </w:p>
        </w:tc>
        <w:tc>
          <w:tcPr>
            <w:tcW w:type="dxa" w:w="11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128 176,6</w:t>
            </w:r>
          </w:p>
        </w:tc>
        <w:tc>
          <w:tcPr>
            <w:tcW w:type="dxa" w:w="85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21,1</w:t>
            </w:r>
          </w:p>
        </w:tc>
      </w:tr>
    </w:tbl>
    <w:p w14:paraId="96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i w:val="0"/>
          <w:sz w:val="18"/>
        </w:rPr>
      </w:pPr>
    </w:p>
    <w:p w14:paraId="97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i w:val="0"/>
          <w:sz w:val="1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18"/>
          <w:highlight w:val="white"/>
        </w:rPr>
        <w:t>* план по расходам утвержден с учетом остатков средств на начало года.</w:t>
      </w:r>
    </w:p>
    <w:p w14:paraId="98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i w:val="0"/>
          <w:sz w:val="18"/>
        </w:rPr>
      </w:pPr>
    </w:p>
    <w:p w14:paraId="99000000">
      <w:pPr>
        <w:pStyle w:val="Style_1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A000000">
      <w:pPr>
        <w:pStyle w:val="Style_1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B000000">
      <w:pPr>
        <w:pStyle w:val="Style_1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9C000000">
      <w:pPr>
        <w:pStyle w:val="Style_1"/>
        <w:spacing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Председатель                                                                                        А.М. Киселева</w:t>
      </w:r>
    </w:p>
    <w:p w14:paraId="9D000000">
      <w:pPr>
        <w:pStyle w:val="Style_1"/>
        <w:spacing w:line="240" w:lineRule="auto"/>
        <w:ind w:firstLine="0" w:left="567"/>
        <w:jc w:val="both"/>
        <w:rPr>
          <w:rFonts w:ascii="Times New Roman" w:hAnsi="Times New Roman"/>
          <w:sz w:val="28"/>
        </w:rPr>
      </w:pPr>
    </w:p>
    <w:p w14:paraId="9E000000">
      <w:pPr>
        <w:pStyle w:val="Style_1"/>
        <w:ind w:firstLine="0" w:left="567"/>
        <w:jc w:val="left"/>
        <w:rPr>
          <w:rFonts w:ascii="Times New Roman" w:hAnsi="Times New Roman"/>
          <w:sz w:val="24"/>
        </w:rPr>
      </w:pPr>
    </w:p>
    <w:p w14:paraId="9F000000">
      <w:pPr>
        <w:pStyle w:val="Style_1"/>
        <w:ind w:firstLine="0" w:left="567"/>
        <w:jc w:val="left"/>
        <w:rPr>
          <w:rFonts w:ascii="Times New Roman" w:hAnsi="Times New Roman"/>
          <w:sz w:val="24"/>
        </w:rPr>
      </w:pPr>
    </w:p>
    <w:p w14:paraId="A0000000">
      <w:pPr>
        <w:pStyle w:val="Style_1"/>
        <w:ind w:firstLine="0" w:left="5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08.05.2026</w:t>
      </w:r>
    </w:p>
    <w:sectPr>
      <w:footerReference r:id="rId1" w:type="default"/>
      <w:pgSz w:h="16838" w:orient="portrait" w:w="11906"/>
      <w:pgMar w:bottom="1134" w:footer="709" w:gutter="0" w:header="709" w:left="1418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\* Arabic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fldChar w:fldCharType="end"/>
    </w:r>
  </w:p>
  <w:p w14:paraId="01000000"/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Vladimir Script" w:hAnsi="Vladimir Script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basedOn w:val="Style_2"/>
    <w:next w:val="Style_2"/>
    <w:link w:val="Style_7_ch"/>
    <w:uiPriority w:val="9"/>
    <w:qFormat/>
    <w:pPr>
      <w:keepNext w:val="1"/>
      <w:keepLines w:val="1"/>
      <w:spacing w:after="0"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7_ch" w:type="character">
    <w:name w:val="heading 3"/>
    <w:basedOn w:val="Style_2_ch"/>
    <w:link w:val="Style_7"/>
    <w:rPr>
      <w:rFonts w:asciiTheme="majorAscii" w:hAnsiTheme="majorHAnsi"/>
      <w:b w:val="1"/>
      <w:color w:themeColor="accent1" w:val="4F81BD"/>
    </w:rPr>
  </w:style>
  <w:style w:styleId="Style_8" w:type="paragraph">
    <w:name w:val="Гиперссылка1"/>
    <w:link w:val="Style_8_ch"/>
  </w:style>
  <w:style w:styleId="Style_8_ch" w:type="character">
    <w:name w:val="Гиперссылка1"/>
    <w:link w:val="Style_8"/>
  </w:style>
  <w:style w:styleId="Style_9" w:type="paragraph">
    <w:name w:val="Заголовок №1"/>
    <w:basedOn w:val="Style_2"/>
    <w:link w:val="Style_9_ch"/>
    <w:pPr>
      <w:widowControl w:val="0"/>
      <w:spacing w:after="0" w:line="370" w:lineRule="exact"/>
      <w:ind/>
      <w:jc w:val="both"/>
      <w:outlineLvl w:val="0"/>
    </w:pPr>
    <w:rPr>
      <w:b w:val="1"/>
      <w:spacing w:val="3"/>
      <w:sz w:val="28"/>
    </w:rPr>
  </w:style>
  <w:style w:styleId="Style_9_ch" w:type="character">
    <w:name w:val="Заголовок №1"/>
    <w:basedOn w:val="Style_2_ch"/>
    <w:link w:val="Style_9"/>
    <w:rPr>
      <w:b w:val="1"/>
      <w:spacing w:val="3"/>
      <w:sz w:val="28"/>
    </w:rPr>
  </w:style>
  <w:style w:styleId="Style_10" w:type="paragraph">
    <w:name w:val="Balloon Text"/>
    <w:basedOn w:val="Style_2"/>
    <w:link w:val="Style_10_ch"/>
    <w:pPr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2_ch"/>
    <w:link w:val="Style_10"/>
    <w:rPr>
      <w:rFonts w:ascii="Tahoma" w:hAnsi="Tahoma"/>
      <w:sz w:val="16"/>
    </w:rPr>
  </w:style>
  <w:style w:styleId="Style_11" w:type="paragraph">
    <w:name w:val="toc 3"/>
    <w:next w:val="Style_2"/>
    <w:link w:val="Style_11_ch"/>
    <w:uiPriority w:val="39"/>
    <w:pPr>
      <w:ind w:firstLine="0"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er"/>
    <w:basedOn w:val="Style_2"/>
    <w:link w:val="Style_1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header"/>
    <w:basedOn w:val="Style_2_ch"/>
    <w:link w:val="Style_12"/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heading 1"/>
    <w:basedOn w:val="Style_2"/>
    <w:next w:val="Style_2"/>
    <w:link w:val="Style_14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66091"/>
      <w:sz w:val="28"/>
    </w:rPr>
  </w:style>
  <w:style w:styleId="Style_14_ch" w:type="character">
    <w:name w:val="heading 1"/>
    <w:basedOn w:val="Style_2_ch"/>
    <w:link w:val="Style_14"/>
    <w:rPr>
      <w:rFonts w:asciiTheme="majorAscii" w:hAnsiTheme="majorHAnsi"/>
      <w:b w:val="1"/>
      <w:color w:themeColor="accent1" w:themeShade="BF" w:val="366091"/>
      <w:sz w:val="2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toc 1"/>
    <w:next w:val="Style_2"/>
    <w:link w:val="Style_17_ch"/>
    <w:uiPriority w:val="39"/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Обычный1"/>
    <w:link w:val="Style_19_ch"/>
  </w:style>
  <w:style w:styleId="Style_19_ch" w:type="character">
    <w:name w:val="Обычный1"/>
    <w:link w:val="Style_19"/>
  </w:style>
  <w:style w:styleId="Style_20" w:type="paragraph">
    <w:name w:val="toc 9"/>
    <w:next w:val="Style_2"/>
    <w:link w:val="Style_20_ch"/>
    <w:uiPriority w:val="39"/>
    <w:pPr>
      <w:ind w:firstLine="0"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8"/>
    <w:next w:val="Style_2"/>
    <w:link w:val="Style_22_ch"/>
    <w:uiPriority w:val="39"/>
    <w:pPr>
      <w:ind w:firstLine="0"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4" w:type="paragraph">
    <w:name w:val="toc 5"/>
    <w:next w:val="Style_2"/>
    <w:link w:val="Style_24_ch"/>
    <w:uiPriority w:val="39"/>
    <w:pPr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25" w:type="paragraph">
    <w:name w:val="Subtitle"/>
    <w:next w:val="Style_2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footer"/>
    <w:basedOn w:val="Style_2"/>
    <w:link w:val="Style_2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8_ch" w:type="character">
    <w:name w:val="footer"/>
    <w:basedOn w:val="Style_2_ch"/>
    <w:link w:val="Style_28"/>
  </w:style>
  <w:style w:styleId="Style_29" w:type="paragraph">
    <w:name w:val="heading 2"/>
    <w:basedOn w:val="Style_2"/>
    <w:next w:val="Style_2"/>
    <w:link w:val="Style_29_ch"/>
    <w:uiPriority w:val="9"/>
    <w:qFormat/>
    <w:pPr>
      <w:keepNext w:val="1"/>
      <w:spacing w:after="0" w:line="240" w:lineRule="auto"/>
      <w:ind/>
      <w:jc w:val="center"/>
      <w:outlineLvl w:val="1"/>
    </w:pPr>
    <w:rPr>
      <w:rFonts w:ascii="Arial" w:hAnsi="Arial"/>
      <w:sz w:val="24"/>
    </w:rPr>
  </w:style>
  <w:style w:styleId="Style_29_ch" w:type="character">
    <w:name w:val="heading 2"/>
    <w:basedOn w:val="Style_2_ch"/>
    <w:link w:val="Style_29"/>
    <w:rPr>
      <w:rFonts w:ascii="Arial" w:hAnsi="Arial"/>
      <w:sz w:val="24"/>
    </w:rPr>
  </w:style>
  <w:style w:styleId="Style_30" w:type="table">
    <w:name w:val="Table Grid"/>
    <w:basedOn w:val="Style_31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2026-05-08T10:44:27Z</dcterms:modified>
</cp:coreProperties>
</file>